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该出手时就出手  防卫·避险及其他</w:t>
      </w:r>
    </w:p>
    <w:p>
      <w:r>
        <w:rPr>
          <w:rFonts w:ascii="宋体" w:hAnsi="宋体" w:eastAsia="宋体"/>
          <w:sz w:val="24"/>
        </w:rPr>
        <w:t>方文军等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该出手时就出手  防卫·避险及其他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东营市：石油大学出版社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本书出售、求购地址：https://www.jiaokey.com/book/detail/10343915.html</w:t>
      </w:r>
    </w:p>
    <w:p>
      <w:r>
        <w:t>更多相关图书推荐：https://www.jiaokey.com</w:t>
      </w:r>
    </w:p>
    <w:p>
      <w:r>
        <w:t>方文军等 其他作品：https://www.jiaokey.com/tag/方文军等.html</w:t>
      </w:r>
    </w:p>
    <w:p>
      <w:r>
        <w:t>东营市：石油大学出版社 出版图书：https://www.jiaokey.com/tag/东营市：石油大学出版社.html</w:t>
      </w:r>
    </w:p>
    <w:p>
      <w:r>
        <w:t>关键词搜索：https://www.jiaokey.com/tag/该出手时就出手  防卫·避险及其他.html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