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卡彼拉的篝火</w:t>
      </w:r>
    </w:p>
    <w:p>
      <w:r>
        <w:rPr>
          <w:rFonts w:ascii="宋体" w:hAnsi="宋体" w:eastAsia="宋体"/>
          <w:sz w:val="24"/>
        </w:rPr>
        <w:t>（南）科瓦切维奇（V.Kovacevic）著；包朝志，于龙生译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卡彼拉的篝火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（南）科瓦切维奇（V.Kovacevic）著；包朝志，于龙生译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本书出售、求购地址：https://www.jiaokey.com/book/detail/10338143.html</w:t>
      </w:r>
    </w:p>
    <w:p>
      <w:r>
        <w:t>更多相关图书推荐：https://www.jiaokey.com</w:t>
      </w:r>
    </w:p>
    <w:p>
      <w:r>
        <w:t>（南）科瓦切维奇（V.Kovacevic）著；包朝志，于龙生译 其他作品：https://www.jiaokey.com/tag/（南）科瓦切维奇（V.Kovacevic）著；包朝志，于龙生译.html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关键词搜索：https://www.jiaokey.com/tag/卡彼拉的篝火.html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