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毛里求斯案件</w:t>
      </w:r>
    </w:p>
    <w:p>
      <w:r>
        <w:rPr>
          <w:rFonts w:ascii="宋体" w:hAnsi="宋体" w:eastAsia="宋体"/>
          <w:sz w:val="24"/>
        </w:rPr>
        <w:t>（德国）瓦塞尔曼（Wassermann，J.）著；马君玉，马英为译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毛里求斯案件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（德国）瓦塞尔曼（Wassermann，J.）著；马君玉，马英为译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本书出售、求购地址：https://www.jiaokey.com/book/detail/10337966.html</w:t>
      </w:r>
    </w:p>
    <w:p>
      <w:r>
        <w:t>更多相关图书推荐：https://www.jiaokey.com</w:t>
      </w:r>
    </w:p>
    <w:p>
      <w:r>
        <w:t>（德国）瓦塞尔曼（Wassermann，J.）著；马君玉，马英为译 其他作品：https://www.jiaokey.com/tag/（德国）瓦塞尔曼（Wassermann，J.）著；马君玉，马英为译.html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关键词搜索：https://www.jiaokey.com/tag/毛里求斯案件.html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