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党在当代的民族政策  苏共纲领  1989年9月20日苏共中央全会通过</w:t>
      </w:r>
    </w:p>
    <w:p>
      <w:r>
        <w:rPr>
          <w:rFonts w:ascii="宋体" w:hAnsi="宋体" w:eastAsia="宋体"/>
          <w:sz w:val="24"/>
        </w:rPr>
        <w:t>汤正方译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党在当代的民族政策  苏共纲领  1989年9月20日苏共中央全会通过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本书出售、求购地址：https://www.jiaokey.com/book/detail/10330452.html</w:t>
      </w:r>
    </w:p>
    <w:p>
      <w:r>
        <w:t>更多相关图书推荐：https://www.jiaokey.com</w:t>
      </w:r>
    </w:p>
    <w:p>
      <w:r>
        <w:t>汤正方译 其他作品：https://www.jiaokey.com/tag/汤正方译.html</w:t>
      </w:r>
    </w:p>
    <w:p>
      <w:r>
        <w:t>中国社会科学院民族研究所科研处 出版图书：https://www.jiaokey.com/tag/中国社会科学院民族研究所科研处.html</w:t>
      </w:r>
    </w:p>
    <w:p>
      <w:r>
        <w:t>关键词搜索：https://www.jiaokey.com/tag/党在当代的民族政策  苏共纲领  1989年9月20日苏共中央全会通过.html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