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大西北区情</w:t>
      </w:r>
    </w:p>
    <w:p>
      <w:r>
        <w:rPr>
          <w:rFonts w:ascii="宋体" w:hAnsi="宋体" w:eastAsia="宋体"/>
          <w:sz w:val="24"/>
        </w:rPr>
        <w:t>西北五省（区）经济学会合编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大西北区情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西北五省（区）经济学会合编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新疆维吾尔自治区经济学会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本书出售、求购地址：https://www.jiaokey.com/book/detail/10330209.html</w:t>
      </w:r>
    </w:p>
    <w:p>
      <w:r>
        <w:t>更多相关图书推荐：https://www.jiaokey.com</w:t>
      </w:r>
    </w:p>
    <w:p>
      <w:r>
        <w:t>西北五省（区）经济学会合编 其他作品：https://www.jiaokey.com/tag/西北五省（区）经济学会合编.html</w:t>
      </w:r>
    </w:p>
    <w:p>
      <w:r>
        <w:t>新疆维吾尔自治区经济学会 出版图书：https://www.jiaokey.com/tag/新疆维吾尔自治区经济学会.html</w:t>
      </w:r>
    </w:p>
    <w:p>
      <w:r>
        <w:t>关键词搜索：https://www.jiaokey.com/tag/大西北区情.html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