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  下</w:t>
      </w:r>
    </w:p>
    <w:p>
      <w:r>
        <w:rPr>
          <w:rFonts w:ascii="宋体" w:hAnsi="宋体" w:eastAsia="宋体"/>
          <w:sz w:val="24"/>
        </w:rPr>
        <w:t>（英）莎士比亚原著；（英）威埃特，G.H.改写 吴翔林注释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（英）莎士比亚原著；（英）威埃特，G.H.改写 吴翔林注释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本书出售、求购地址：https://www.jiaokey.com/book/detail/10314809.html</w:t>
      </w:r>
    </w:p>
    <w:p>
      <w:r>
        <w:t>更多相关图书推荐：https://www.jiaokey.com</w:t>
      </w:r>
    </w:p>
    <w:p>
      <w:r>
        <w:t>（英）莎士比亚原著；（英）威埃特，G.H.改写 吴翔林注释 其他作品：https://www.jiaokey.com/tag/（英）莎士比亚原著；（英）威埃特，G.H.改写 吴翔林注释.html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关键词搜索：https://www.jiaokey.com/tag/莎士比亚戏剧故事集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