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生物药剂学和临床药代动力学</w:t>
      </w:r>
    </w:p>
    <w:p>
      <w:r>
        <w:rPr>
          <w:rFonts w:ascii="宋体" w:hAnsi="宋体" w:eastAsia="宋体"/>
          <w:sz w:val="24"/>
        </w:rPr>
        <w:t>S.尼兹著；陈刚等合译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生物药剂学和临床药代动力学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S.尼兹著；陈刚等合译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本书出售、求购地址：https://www.jiaokey.com/book/detail/10311969.html</w:t>
      </w:r>
    </w:p>
    <w:p>
      <w:r>
        <w:t>更多相关图书推荐：https://www.jiaokey.com</w:t>
      </w:r>
    </w:p>
    <w:p>
      <w:r>
        <w:t>S.尼兹著；陈刚等合译 其他作品：https://www.jiaokey.com/tag/S.尼兹著；陈刚等合译.html</w:t>
      </w:r>
    </w:p>
    <w:p>
      <w:r>
        <w:t>关键词搜索：https://www.jiaokey.com/tag/生物药剂学和临床药代动力学.html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