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丁烷制丁二烯的物料分析</w:t>
      </w:r>
    </w:p>
    <w:p>
      <w:r>
        <w:rPr>
          <w:rFonts w:ascii="宋体" w:hAnsi="宋体" w:eastAsia="宋体"/>
          <w:sz w:val="24"/>
        </w:rPr>
        <w:t>（苏）包格达诺夫，М.И.等著；沈阳市新生化工研究所翻译组译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丁烷制丁二烯的物料分析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（苏）包格达诺夫，М.И.等著；沈阳市新生化工研究所翻译组译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本书出售、求购地址：https://www.jiaokey.com/book/detail/10311180.html</w:t>
      </w:r>
    </w:p>
    <w:p>
      <w:r>
        <w:t>更多相关图书推荐：https://www.jiaokey.com</w:t>
      </w:r>
    </w:p>
    <w:p>
      <w:r>
        <w:t>（苏）包格达诺夫，М.И.等著；沈阳市新生化工研究所翻译组译 其他作品：https://www.jiaokey.com/tag/（苏）包格达诺夫，М.И.等著；沈阳市新生化工研究所翻译组译.html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关键词搜索：https://www.jiaokey.com/tag/丁烷制丁二烯的物料分析.html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