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旋风炉法制熔融磷肥</w:t>
      </w:r>
    </w:p>
    <w:p>
      <w:r>
        <w:rPr>
          <w:rFonts w:ascii="宋体" w:hAnsi="宋体" w:eastAsia="宋体"/>
          <w:sz w:val="24"/>
        </w:rPr>
        <w:t>湖北省武昌电厂，上海化工研究院合编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旋风炉法制熔融磷肥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湖北省武昌电厂，上海化工研究院合编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本书出售、求购地址：https://www.jiaokey.com/book/detail/10310746.html</w:t>
      </w:r>
    </w:p>
    <w:p>
      <w:r>
        <w:t>更多相关图书推荐：https://www.jiaokey.com</w:t>
      </w:r>
    </w:p>
    <w:p>
      <w:r>
        <w:t>湖北省武昌电厂，上海化工研究院合编 其他作品：https://www.jiaokey.com/tag/湖北省武昌电厂，上海化工研究院合编.html</w:t>
      </w:r>
    </w:p>
    <w:p>
      <w:r>
        <w:t>北京：石油化学工业出版社 出版图书：https://www.jiaokey.com/tag/北京：石油化学工业出版社.html</w:t>
      </w:r>
    </w:p>
    <w:p>
      <w:r>
        <w:t>关键词搜索：https://www.jiaokey.com/tag/旋风炉法制熔融磷肥.html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