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干燥</w:t>
      </w:r>
    </w:p>
    <w:p>
      <w:r>
        <w:rPr>
          <w:rFonts w:ascii="宋体" w:hAnsi="宋体" w:eastAsia="宋体"/>
          <w:sz w:val="24"/>
        </w:rPr>
        <w:t>中国化工学会科普工作委员会组织编写；包丕琴编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中国化工学会科普工作委员会组织编写；包丕琴编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本书出售、求购地址：https://www.jiaokey.com/book/detail/10309376.html</w:t>
      </w:r>
    </w:p>
    <w:p>
      <w:r>
        <w:t>更多相关图书推荐：https://www.jiaokey.com</w:t>
      </w:r>
    </w:p>
    <w:p>
      <w:r>
        <w:t>中国化工学会科普工作委员会组织编写；包丕琴编 其他作品：https://www.jiaokey.com/tag/中国化工学会科普工作委员会组织编写；包丕琴编.html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关键词搜索：https://www.jiaokey.com/tag/干燥.html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