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东北古史资料丛编u3000u3000（第一卷）</w:t>
      </w:r>
    </w:p>
    <w:p>
      <w:r>
        <w:rPr>
          <w:rFonts w:ascii="宋体" w:hAnsi="宋体" w:eastAsia="宋体"/>
          <w:sz w:val="24"/>
        </w:rPr>
        <w:t>高雅风  马甫生等编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东北古史资料丛编u3000u3000（第一卷）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高雅风  马甫生等编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本书出售、求购地址：https://www.jiaokey.com/book/detail/10306031.html</w:t>
      </w:r>
    </w:p>
    <w:p>
      <w:r>
        <w:t>更多相关图书推荐：https://www.jiaokey.com</w:t>
      </w:r>
    </w:p>
    <w:p>
      <w:r>
        <w:t>高雅风  马甫生等编 其他作品：https://www.jiaokey.com/tag/高雅风  马甫生等编.html</w:t>
      </w:r>
    </w:p>
    <w:p>
      <w:r>
        <w:t>辽沈书社 出版图书：https://www.jiaokey.com/tag/辽沈书社.html</w:t>
      </w:r>
    </w:p>
    <w:p>
      <w:r>
        <w:t>关键词搜索：https://www.jiaokey.com/tag/东北古史资料丛编u3000u3000（第一卷）.html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