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创伤和创伤感染</w:t>
      </w:r>
    </w:p>
    <w:p>
      <w:r>
        <w:rPr>
          <w:rFonts w:ascii="宋体" w:hAnsi="宋体" w:eastAsia="宋体"/>
          <w:sz w:val="24"/>
        </w:rPr>
        <w:t>М.И.库津，Б.М.科斯秋切诺克主编；罗宁等译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创伤和创伤感染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М.И.库津，Б.М.科斯秋切诺克主编；罗宁等译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本书出售、求购地址：https://www.jiaokey.com/book/detail/10303531.html</w:t>
      </w:r>
    </w:p>
    <w:p>
      <w:r>
        <w:t>更多相关图书推荐：https://www.jiaokey.com</w:t>
      </w:r>
    </w:p>
    <w:p>
      <w:r>
        <w:t>М.И.库津，Б.М.科斯秋切诺克主编；罗宁等译 其他作品：https://www.jiaokey.com/tag/М.И.库津，Б.М.科斯秋切诺克主编；罗宁等译.html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关键词搜索：https://www.jiaokey.com/tag/创伤和创伤感染.html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