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特殊钢  第2分册</w:t>
      </w:r>
    </w:p>
    <w:p>
      <w:r>
        <w:rPr>
          <w:rFonts w:ascii="宋体" w:hAnsi="宋体" w:eastAsia="宋体"/>
          <w:sz w:val="24"/>
        </w:rPr>
        <w:t>（苏）札依莫夫斯基，А.С.，（苏）别尔恩什杰因，М.Л，主编；北京编译社译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特殊钢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（苏）札依莫夫斯基，А.С.，（苏）别尔恩什杰因，М.Л，主编；北京编译社译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本书出售、求购地址：https://www.jiaokey.com/book/detail/10303277.html</w:t>
      </w:r>
    </w:p>
    <w:p>
      <w:r>
        <w:t>更多相关图书推荐：https://www.jiaokey.com</w:t>
      </w:r>
    </w:p>
    <w:p>
      <w:r>
        <w:t>（苏）札依莫夫斯基，А.С.，（苏）别尔恩什杰因，М.Л，主编；北京编译社译 其他作品：https://www.jiaokey.com/tag/（苏）札依莫夫斯基，А.С.，（苏）别尔恩什杰因，М.Л，主编；北京编译社译.html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关键词搜索：https://www.jiaokey.com/tag/特殊钢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