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灌溉农业中的有效雨量</w:t>
      </w:r>
    </w:p>
    <w:p>
      <w:r>
        <w:rPr>
          <w:rFonts w:ascii="宋体" w:hAnsi="宋体" w:eastAsia="宋体"/>
          <w:sz w:val="24"/>
        </w:rPr>
        <w:t>N·G 达斯塔内编著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灌溉农业中的有效雨量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N·G 达斯塔内编著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联合国粮食及农业组织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本书出售、求购地址：https://www.jiaokey.com/book/detail/10299530.html</w:t>
      </w:r>
    </w:p>
    <w:p>
      <w:r>
        <w:t>更多相关图书推荐：https://www.jiaokey.com</w:t>
      </w:r>
    </w:p>
    <w:p>
      <w:r>
        <w:t>N·G 达斯塔内编著 其他作品：https://www.jiaokey.com/tag/N·G 达斯塔内编著.html</w:t>
      </w:r>
    </w:p>
    <w:p>
      <w:r>
        <w:t>联合国粮食及农业组织 出版图书：https://www.jiaokey.com/tag/联合国粮食及农业组织.html</w:t>
      </w:r>
    </w:p>
    <w:p>
      <w:r>
        <w:t>关键词搜索：https://www.jiaokey.com/tag/灌溉农业中的有效雨量.html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