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时代的要求  “轻、薄、短、小”——滞销时代的畅销商品</w:t>
      </w:r>
    </w:p>
    <w:p>
      <w:r>
        <w:rPr>
          <w:rFonts w:ascii="宋体" w:hAnsi="宋体" w:eastAsia="宋体"/>
          <w:sz w:val="24"/>
        </w:rPr>
        <w:t>《日经商业》编辑部编  李惠春译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时代的要求  “轻、薄、短、小”——滞销时代的畅销商品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《日经商业》编辑部编  李惠春译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本书出售、求购地址：https://www.jiaokey.com/book/detail/10297122.html</w:t>
      </w:r>
    </w:p>
    <w:p>
      <w:r>
        <w:t>更多相关图书推荐：https://www.jiaokey.com</w:t>
      </w:r>
    </w:p>
    <w:p>
      <w:r>
        <w:t>《日经商业》编辑部编  李惠春译 其他作品：https://www.jiaokey.com/tag/《日经商业》编辑部编  李惠春译.html</w:t>
      </w:r>
    </w:p>
    <w:p>
      <w:r>
        <w:t>机械工业出版社 出版图书：https://www.jiaokey.com/tag/机械工业出版社.html</w:t>
      </w:r>
    </w:p>
    <w:p>
      <w:r>
        <w:t>关键词搜索：https://www.jiaokey.com/tag/时代的要求  “轻、薄、短、小”——滞销时代的畅销商品.html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