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武宫流三连星序盘至中盘战术</w:t>
      </w:r>
    </w:p>
    <w:p>
      <w:r>
        <w:rPr>
          <w:rFonts w:ascii="宋体" w:hAnsi="宋体" w:eastAsia="宋体"/>
          <w:sz w:val="24"/>
        </w:rPr>
        <w:t>（日）武宫正树，（日）本因坊著；赵隽欣译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武宫流三连星序盘至中盘战术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（日）武宫正树，（日）本因坊著；赵隽欣译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本书出售、求购地址：https://www.jiaokey.com/book/detail/10296156.html</w:t>
      </w:r>
    </w:p>
    <w:p>
      <w:r>
        <w:t>更多相关图书推荐：https://www.jiaokey.com</w:t>
      </w:r>
    </w:p>
    <w:p>
      <w:r>
        <w:t>（日）武宫正树，（日）本因坊著；赵隽欣译 其他作品：https://www.jiaokey.com/tag/（日）武宫正树，（日）本因坊著；赵隽欣译.html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关键词搜索：https://www.jiaokey.com/tag/武宫流三连星序盘至中盘战术.html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