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围棋实用死活</w:t>
      </w:r>
    </w:p>
    <w:p>
      <w:r>
        <w:rPr>
          <w:rFonts w:ascii="宋体" w:hAnsi="宋体" w:eastAsia="宋体"/>
          <w:sz w:val="24"/>
        </w:rPr>
        <w:t>成都业余棋校编写；杜君果执笔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围棋实用死活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成都业余棋校编写；杜君果执笔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本书出售、求购地址：https://www.jiaokey.com/book/detail/10296083.html</w:t>
      </w:r>
    </w:p>
    <w:p>
      <w:r>
        <w:t>更多相关图书推荐：https://www.jiaokey.com</w:t>
      </w:r>
    </w:p>
    <w:p>
      <w:r>
        <w:t>成都业余棋校编写；杜君果执笔 其他作品：https://www.jiaokey.com/tag/成都业余棋校编写；杜君果执笔.html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关键词搜索：https://www.jiaokey.com/tag/围棋实用死活.html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