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围棋提高不求人</w:t>
      </w:r>
    </w:p>
    <w:p>
      <w:r>
        <w:rPr>
          <w:rFonts w:ascii="宋体" w:hAnsi="宋体" w:eastAsia="宋体"/>
          <w:sz w:val="24"/>
        </w:rPr>
        <w:t>（日）大平修三著；周钧，韦莲编译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围棋提高不求人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（日）大平修三著；周钧，韦莲编译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本书出售、求购地址：https://www.jiaokey.com/book/detail/10295259.html</w:t>
      </w:r>
    </w:p>
    <w:p>
      <w:r>
        <w:t>更多相关图书推荐：https://www.jiaokey.com</w:t>
      </w:r>
    </w:p>
    <w:p>
      <w:r>
        <w:t>（日）大平修三著；周钧，韦莲编译 其他作品：https://www.jiaokey.com/tag/（日）大平修三著；周钧，韦莲编译.html</w:t>
      </w:r>
    </w:p>
    <w:p>
      <w:r>
        <w:t>北京：北京体育学院出版社 出版图书：https://www.jiaokey.com/tag/北京：北京体育学院出版社.html</w:t>
      </w:r>
    </w:p>
    <w:p>
      <w:r>
        <w:t>关键词搜索：https://www.jiaokey.com/tag/围棋提高不求人.html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