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六次危机  上下</w:t>
      </w:r>
    </w:p>
    <w:p>
      <w:r>
        <w:rPr>
          <w:rFonts w:ascii="宋体" w:hAnsi="宋体" w:eastAsia="宋体"/>
          <w:sz w:val="24"/>
        </w:rPr>
        <w:t>（美）R.M.尼克松著；北京大学法律系，中央民族学院研究室《六次危机》翻译组译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六次危机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（美）R.M.尼克松著；北京大学法律系，中央民族学院研究室《六次危机》翻译组译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本书出售、求购地址：https://www.jiaokey.com/book/detail/10290765.html</w:t>
      </w:r>
    </w:p>
    <w:p>
      <w:r>
        <w:t>更多相关图书推荐：https://www.jiaokey.com</w:t>
      </w:r>
    </w:p>
    <w:p>
      <w:r>
        <w:t>（美）R.M.尼克松著；北京大学法律系，中央民族学院研究室《六次危机》翻译组译 其他作品：https://www.jiaokey.com/tag/（美）R.M.尼克松著；北京大学法律系，中央民族学院研究室《六次危机》翻译组译.html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关键词搜索：https://www.jiaokey.com/tag/六次危机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