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非Abel规范理论中形状因子高能行为的六阶计算</w:t>
      </w:r>
    </w:p>
    <w:p>
      <w:r>
        <w:rPr>
          <w:rFonts w:ascii="宋体" w:hAnsi="宋体" w:eastAsia="宋体"/>
          <w:sz w:val="24"/>
        </w:rPr>
        <w:t>吴ue235时，戴元本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非Abel规范理论中形状因子高能行为的六阶计算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吴ue235时，戴元本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本书出售、求购地址：https://www.jiaokey.com/book/detail/10288733.html</w:t>
      </w:r>
    </w:p>
    <w:p>
      <w:r>
        <w:t>更多相关图书推荐：https://www.jiaokey.com</w:t>
      </w:r>
    </w:p>
    <w:p>
      <w:r>
        <w:t>吴ue235时，戴元本 其他作品：https://www.jiaokey.com/tag/吴ue235时，戴元本.html</w:t>
      </w:r>
    </w:p>
    <w:p>
      <w:r>
        <w:t>关键词搜索：https://www.jiaokey.com/tag/非Abel规范理论中形状因子高能行为的六阶计算.html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