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奇异吸引子容量计算中的不收剑问题</w:t>
      </w:r>
    </w:p>
    <w:p>
      <w:r>
        <w:rPr>
          <w:rFonts w:ascii="宋体" w:hAnsi="宋体" w:eastAsia="宋体"/>
          <w:sz w:val="24"/>
        </w:rPr>
        <w:t>王光瑞，郝柏林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奇异吸引子容量计算中的不收剑问题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王光瑞，郝柏林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本书出售、求购地址：https://www.jiaokey.com/book/detail/10288661.html</w:t>
      </w:r>
    </w:p>
    <w:p>
      <w:r>
        <w:t>更多相关图书推荐：https://www.jiaokey.com</w:t>
      </w:r>
    </w:p>
    <w:p>
      <w:r>
        <w:t>王光瑞，郝柏林 其他作品：https://www.jiaokey.com/tag/王光瑞，郝柏林.html</w:t>
      </w:r>
    </w:p>
    <w:p>
      <w:r>
        <w:t>关键词搜索：https://www.jiaokey.com/tag/奇异吸引子容量计算中的不收剑问题.html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