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司法鉴定客体的兰光检验</w:t>
      </w:r>
    </w:p>
    <w:p>
      <w:r>
        <w:rPr>
          <w:rFonts w:ascii="宋体" w:hAnsi="宋体" w:eastAsia="宋体"/>
          <w:sz w:val="24"/>
        </w:rPr>
        <w:t>（苏）米罗诺夫，А.И.著，（苏）塔霍—国吉，Ф.М.著；李国赞译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6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司法鉴定客体的兰光检验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（苏）米罗诺夫，А.И.著，（苏）塔霍—国吉，Ф.М.著；李国赞译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司法鉴定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本书出售、求购地址：https://www.jiaokey.com/book/detail/10286823.html</w:t>
      </w:r>
    </w:p>
    <w:p>
      <w:r>
        <w:t>更多相关图书推荐：https://www.jiaokey.com</w:t>
      </w:r>
    </w:p>
    <w:p>
      <w:r>
        <w:t>（苏）米罗诺夫，А.И.著，（苏）塔霍—国吉，Ф.М.著；李国赞译 其他作品：https://www.jiaokey.com/tag/（苏）米罗诺夫，А.И.著，（苏）塔霍—国吉，Ф.М.著；李国赞译.html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关键词搜索：https://www.jiaokey.com/tag/司法鉴定.html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