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日本应该直言不讳  日美关系的新变化</w:t>
      </w:r>
    </w:p>
    <w:p>
      <w:r>
        <w:rPr>
          <w:rFonts w:ascii="宋体" w:hAnsi="宋体" w:eastAsia="宋体"/>
          <w:sz w:val="24"/>
        </w:rPr>
        <w:t>（日）盛田昭夫，（日）石原慎太郎著；孙晓燕，谢鹏译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日本应该直言不讳  日美关系的新变化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（日）盛田昭夫，（日）石原慎太郎著；孙晓燕，谢鹏译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本书出售、求购地址：https://www.jiaokey.com/book/detail/10284622.html</w:t>
      </w:r>
    </w:p>
    <w:p>
      <w:r>
        <w:t>更多相关图书推荐：https://www.jiaokey.com</w:t>
      </w:r>
    </w:p>
    <w:p>
      <w:r>
        <w:t>（日）盛田昭夫，（日）石原慎太郎著；孙晓燕，谢鹏译 其他作品：https://www.jiaokey.com/tag/（日）盛田昭夫，（日）石原慎太郎著；孙晓燕，谢鹏译.html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关键词搜索：https://www.jiaokey.com/tag/日本应该直言不讳  日美关系的新变化.html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