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战后意大利的政治斗争</w:t>
      </w:r>
    </w:p>
    <w:p>
      <w:r>
        <w:rPr>
          <w:rFonts w:ascii="宋体" w:hAnsi="宋体" w:eastAsia="宋体"/>
          <w:sz w:val="24"/>
        </w:rPr>
        <w:t>（苏）P.谢夫拉金著；青山译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战后意大利的政治斗争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（苏）P.谢夫拉金著；青山译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本书出售、求购地址：https://www.jiaokey.com/book/detail/10284554.html</w:t>
      </w:r>
    </w:p>
    <w:p>
      <w:r>
        <w:t>更多相关图书推荐：https://www.jiaokey.com</w:t>
      </w:r>
    </w:p>
    <w:p>
      <w:r>
        <w:t>（苏）P.谢夫拉金著；青山译 其他作品：https://www.jiaokey.com/tag/（苏）P.谢夫拉金著；青山译.html</w:t>
      </w:r>
    </w:p>
    <w:p>
      <w:r>
        <w:t>光华书店 出版图书：https://www.jiaokey.com/tag/光华书店.html</w:t>
      </w:r>
    </w:p>
    <w:p>
      <w:r>
        <w:t>关键词搜索：https://www.jiaokey.com/tag/战后意大利的政治斗争.html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