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社会关系  一般理论问题</w:t>
      </w:r>
    </w:p>
    <w:p>
      <w:r>
        <w:rPr>
          <w:rFonts w:ascii="宋体" w:hAnsi="宋体" w:eastAsia="宋体"/>
          <w:sz w:val="24"/>
        </w:rPr>
        <w:t>（苏）拉契科夫（Рачков，П.А.）主编；王中宪，谭英秋译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社会关系  一般理论问题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（苏）拉契科夫（Рачков，П.А.）主编；王中宪，谭英秋译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本书出售、求购地址：https://www.jiaokey.com/book/detail/10283098.html</w:t>
      </w:r>
    </w:p>
    <w:p>
      <w:r>
        <w:t>更多相关图书推荐：https://www.jiaokey.com</w:t>
      </w:r>
    </w:p>
    <w:p>
      <w:r>
        <w:t>（苏）拉契科夫（Рачков，П.А.）主编；王中宪，谭英秋译 其他作品：https://www.jiaokey.com/tag/（苏）拉契科夫（Рачков，П.А.）主编；王中宪，谭英秋译.html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关键词搜索：https://www.jiaokey.com/tag/社会关系  一般理论问题.html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