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有关神的存在和性质的对话</w:t>
      </w:r>
    </w:p>
    <w:p>
      <w:r>
        <w:rPr>
          <w:rFonts w:ascii="宋体" w:hAnsi="宋体" w:eastAsia="宋体"/>
          <w:sz w:val="24"/>
        </w:rPr>
        <w:t>（法）尼古拉·马勒伯朗士（Nicolas Malebranche）等著；陈乐民试译并序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有关神的存在和性质的对话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（法）尼古拉·马勒伯朗士（Nicolas Malebranche）等著；陈乐民试译并序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本书出售、求购地址：https://www.jiaokey.com/book/detail/10282497.html</w:t>
      </w:r>
    </w:p>
    <w:p>
      <w:r>
        <w:t>更多相关图书推荐：https://www.jiaokey.com</w:t>
      </w:r>
    </w:p>
    <w:p>
      <w:r>
        <w:t>（法）尼古拉·马勒伯朗士（Nicolas Malebranche）等著；陈乐民试译并序 其他作品：https://www.jiaokey.com/tag/（法）尼古拉·马勒伯朗士（Nicolas Malebranche）等著；陈乐民试译并序.html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关键词搜索：https://www.jiaokey.com/tag/有关神的存在和性质的对话.html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