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下</w:t>
      </w:r>
    </w:p>
    <w:p>
      <w:r>
        <w:rPr>
          <w:rFonts w:ascii="宋体" w:hAnsi="宋体" w:eastAsia="宋体"/>
          <w:sz w:val="24"/>
        </w:rPr>
        <w:t>（美）莱·威·钱得勒（L.V. Chandler），（美）斯·姆·哥尔特菲尔特（S.M. Goldfeld）著；中国人民大学财政金融教研室译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（美）莱·威·钱得勒（L.V. Chandler），（美）斯·姆·哥尔特菲尔特（S.M. Goldfeld）著；中国人民大学财政金融教研室译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本书出售、求购地址：https://www.jiaokey.com/book/detail/10281984.html</w:t>
      </w:r>
    </w:p>
    <w:p>
      <w:r>
        <w:t>更多相关图书推荐：https://www.jiaokey.com</w:t>
      </w:r>
    </w:p>
    <w:p>
      <w:r>
        <w:t>（美）莱·威·钱得勒（L.V. Chandler），（美）斯·姆·哥尔特菲尔特（S.M. Goldfeld）著；中国人民大学财政金融教研室译 其他作品：https://www.jiaokey.com/tag/（美）莱·威·钱得勒（L.V. Chandler），（美）斯·姆·哥尔特菲尔特（S.M. Goldfeld）著；中国人民大学财政金融教研室译.html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关键词搜索：https://www.jiaokey.com/tag/货币银行学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