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自适应控制</w:t>
      </w:r>
    </w:p>
    <w:p>
      <w:r>
        <w:rPr>
          <w:rFonts w:ascii="宋体" w:hAnsi="宋体" w:eastAsia="宋体"/>
          <w:sz w:val="24"/>
        </w:rPr>
        <w:t>（瑞典）奥斯特隆姆（Astrom，K.J.），（瑞典）威顿马克（Wittenmark，B.）著；李清泉等译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自适应控制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（瑞典）奥斯特隆姆（Astrom，K.J.），（瑞典）威顿马克（Wittenmark，B.）著；李清泉等译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本书出售、求购地址：https://www.jiaokey.com/book/detail/10280489.html</w:t>
      </w:r>
    </w:p>
    <w:p>
      <w:r>
        <w:t>更多相关图书推荐：https://www.jiaokey.com</w:t>
      </w:r>
    </w:p>
    <w:p>
      <w:r>
        <w:t>（瑞典）奥斯特隆姆（Astrom，K.J.），（瑞典）威顿马克（Wittenmark，B.）著；李清泉等译 其他作品：https://www.jiaokey.com/tag/（瑞典）奥斯特隆姆（Astrom，K.J.），（瑞典）威顿马克（Wittenmark，B.）著；李清泉等译.html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关键词搜索：https://www.jiaokey.com/tag/自适应控制.html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