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4 应用技巧与实例</w:t>
      </w:r>
    </w:p>
    <w:p>
      <w:r>
        <w:rPr>
          <w:rFonts w:ascii="宋体" w:hAnsi="宋体" w:eastAsia="宋体"/>
          <w:sz w:val="24"/>
        </w:rPr>
        <w:t>刘明亮，刘明珍译；莫尼兹（Moniz，S.）著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4 应用技巧与实例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刘明亮，刘明珍译；莫尼兹（Moniz，S.）著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本书出售、求购地址：https://www.jiaokey.com/book/detail/10278472.html</w:t>
      </w:r>
    </w:p>
    <w:p>
      <w:r>
        <w:t>更多相关图书推荐：https://www.jiaokey.com</w:t>
      </w:r>
    </w:p>
    <w:p>
      <w:r>
        <w:t>刘明亮，刘明珍译；莫尼兹（Moniz，S.）著 其他作品：https://www.jiaokey.com/tag/刘明亮，刘明珍译；莫尼兹（Moniz，S.）著.html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关键词搜索：https://www.jiaokey.com/tag/Photoshop 4 应用技巧与实例.html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