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微型计算机技术及应用 微型机软件硬件开发指南</w:t>
      </w:r>
    </w:p>
    <w:p>
      <w:r>
        <w:rPr>
          <w:rFonts w:ascii="宋体" w:hAnsi="宋体" w:eastAsia="宋体"/>
          <w:sz w:val="24"/>
        </w:rPr>
        <w:t>戴梅萼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微型计算机技术及应用 微型机软件硬件开发指南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戴梅萼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本书出售、求购地址：https://www.jiaokey.com/book/detail/10275916.html</w:t>
      </w:r>
    </w:p>
    <w:p>
      <w:r>
        <w:t>更多相关图书推荐：https://www.jiaokey.com</w:t>
      </w:r>
    </w:p>
    <w:p>
      <w:r>
        <w:t>戴梅萼 其他作品：https://www.jiaokey.com/tag/戴梅萼.html</w:t>
      </w:r>
    </w:p>
    <w:p>
      <w:r>
        <w:t>关键词搜索：https://www.jiaokey.com/tag/微型计算机技术及应用 微型机软件硬件开发指南.html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