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分级式计算机的构成</w:t>
      </w:r>
    </w:p>
    <w:p>
      <w:r>
        <w:rPr>
          <w:rFonts w:ascii="宋体" w:hAnsi="宋体" w:eastAsia="宋体"/>
          <w:sz w:val="24"/>
        </w:rPr>
        <w:t>（荷）塔南鲍姆（A.S. Tanenbaum）著；汪成为，于土齐译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分级式计算机的构成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（荷）塔南鲍姆（A.S. Tanenbaum）著；汪成为，于土齐译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本书出售、求购地址：https://www.jiaokey.com/book/detail/10274913.html</w:t>
      </w:r>
    </w:p>
    <w:p>
      <w:r>
        <w:t>更多相关图书推荐：https://www.jiaokey.com</w:t>
      </w:r>
    </w:p>
    <w:p>
      <w:r>
        <w:t>（荷）塔南鲍姆（A.S. Tanenbaum）著；汪成为，于土齐译 其他作品：https://www.jiaokey.com/tag/（荷）塔南鲍姆（A.S. Tanenbaum）著；汪成为，于土齐译.html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关键词搜索：https://www.jiaokey.com/tag/分级式计算机的构成.html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