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湖南无产阶级革命家群起原因浅析</w:t>
      </w:r>
    </w:p>
    <w:p>
      <w:r>
        <w:rPr>
          <w:rFonts w:ascii="宋体" w:hAnsi="宋体" w:eastAsia="宋体"/>
          <w:sz w:val="24"/>
        </w:rPr>
        <w:t>唐振南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湖南无产阶级革命家群起原因浅析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中共湖南省委党史委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本书出售、求购地址：https://www.jiaokey.com/book/detail/10272918.html</w:t>
      </w:r>
    </w:p>
    <w:p>
      <w:r>
        <w:t>更多相关图书推荐：https://www.jiaokey.com</w:t>
      </w:r>
    </w:p>
    <w:p>
      <w:r>
        <w:t>唐振南 其他作品：https://www.jiaokey.com/tag/唐振南.html</w:t>
      </w:r>
    </w:p>
    <w:p>
      <w:r>
        <w:t>中共湖南省委党史委 出版图书：https://www.jiaokey.com/tag/中共湖南省委党史委.html</w:t>
      </w:r>
    </w:p>
    <w:p>
      <w:r>
        <w:t>关键词搜索：https://www.jiaokey.com/tag/纪念中国共产党成立七十周年学术讨论会  湖南无产阶级革命家群起原因浅析.html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