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正确认识和处理社会主义社会的阶级斗争</w:t>
      </w:r>
    </w:p>
    <w:p>
      <w:r>
        <w:rPr>
          <w:rFonts w:ascii="宋体" w:hAnsi="宋体" w:eastAsia="宋体"/>
          <w:sz w:val="24"/>
        </w:rPr>
        <w:t>张同生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正确认识和处理社会主义社会的阶级斗争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本书出售、求购地址：https://www.jiaokey.com/book/detail/10272898.html</w:t>
      </w:r>
    </w:p>
    <w:p>
      <w:r>
        <w:t>更多相关图书推荐：https://www.jiaokey.com</w:t>
      </w:r>
    </w:p>
    <w:p>
      <w:r>
        <w:t>张同生 其他作品：https://www.jiaokey.com/tag/张同生.html</w:t>
      </w:r>
    </w:p>
    <w:p>
      <w:r>
        <w:t>贵州省社会科学院 出版图书：https://www.jiaokey.com/tag/贵州省社会科学院.html</w:t>
      </w:r>
    </w:p>
    <w:p>
      <w:r>
        <w:t>关键词搜索：https://www.jiaokey.com/tag/纪念中国共产党成立七十周年学术讨论会  正确认识和处理社会主义社会的阶级斗争.html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