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国际大气候与当代马克思主义的命运</w:t>
      </w:r>
    </w:p>
    <w:p>
      <w:r>
        <w:rPr>
          <w:rFonts w:ascii="宋体" w:hAnsi="宋体" w:eastAsia="宋体"/>
          <w:sz w:val="24"/>
        </w:rPr>
        <w:t>方玄初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国际大气候与当代马克思主义的命运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方玄初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北京市社会科学界联合会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本书出售、求购地址：https://www.jiaokey.com/book/detail/10272753.html</w:t>
      </w:r>
    </w:p>
    <w:p>
      <w:r>
        <w:t>更多相关图书推荐：https://www.jiaokey.com</w:t>
      </w:r>
    </w:p>
    <w:p>
      <w:r>
        <w:t>方玄初 其他作品：https://www.jiaokey.com/tag/方玄初.html</w:t>
      </w:r>
    </w:p>
    <w:p>
      <w:r>
        <w:t>北京市社会科学界联合会 出版图书：https://www.jiaokey.com/tag/北京市社会科学界联合会.html</w:t>
      </w:r>
    </w:p>
    <w:p>
      <w:r>
        <w:t>关键词搜索：https://www.jiaokey.com/tag/纪念中国共产党成立七十周年学术讨论会  国际大气候与当代马克思主义的命运.html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