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经济核算制与流动资金问题</w:t>
      </w:r>
    </w:p>
    <w:p>
      <w:r>
        <w:rPr>
          <w:rFonts w:ascii="宋体" w:hAnsi="宋体" w:eastAsia="宋体"/>
          <w:sz w:val="24"/>
        </w:rPr>
        <w:t>A.H.格里高里也夫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经济核算制与流动资金问题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A.H.格里高里也夫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本书出售、求购地址：https://www.jiaokey.com/book/detail/10270607.html</w:t>
      </w:r>
    </w:p>
    <w:p>
      <w:r>
        <w:t>更多相关图书推荐：https://www.jiaokey.com</w:t>
      </w:r>
    </w:p>
    <w:p>
      <w:r>
        <w:t>A.H.格里高里也夫 其他作品：https://www.jiaokey.com/tag/A.H.格里高里也夫.html</w:t>
      </w:r>
    </w:p>
    <w:p>
      <w:r>
        <w:t>人民铁道出版社 出版图书：https://www.jiaokey.com/tag/人民铁道出版社.html</w:t>
      </w:r>
    </w:p>
    <w:p>
      <w:r>
        <w:t>关键词搜索：https://www.jiaokey.com/tag/经济核算制与流动资金问题.html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