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吉林化学工业公司“双文明”建设经验总结  企业管理工作部分</w:t>
      </w:r>
    </w:p>
    <w:p>
      <w:r>
        <w:rPr>
          <w:rFonts w:ascii="宋体" w:hAnsi="宋体" w:eastAsia="宋体"/>
          <w:sz w:val="24"/>
        </w:rPr>
        <w:t>化学工业部企业管理咨询委员会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吉林化学工业公司“双文明”建设经验总结  企业管理工作部分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化学工业部企业管理咨询委员会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吉林化学工业公司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本书出售、求购地址：https://www.jiaokey.com/book/detail/10269992.html</w:t>
      </w:r>
    </w:p>
    <w:p>
      <w:r>
        <w:t>更多相关图书推荐：https://www.jiaokey.com</w:t>
      </w:r>
    </w:p>
    <w:p>
      <w:r>
        <w:t>化学工业部企业管理咨询委员会 其他作品：https://www.jiaokey.com/tag/化学工业部企业管理咨询委员会.html</w:t>
      </w:r>
    </w:p>
    <w:p>
      <w:r>
        <w:t>吉林化学工业公司 出版图书：https://www.jiaokey.com/tag/吉林化学工业公司.html</w:t>
      </w:r>
    </w:p>
    <w:p>
      <w:r>
        <w:t>关键词搜索：https://www.jiaokey.com/tag/吉林化学工业公司“双文明”建设经验总结  企业管理工作部分.html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