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戈尔巴乔夫与“新”俄国  对2000年的展望</w:t>
      </w:r>
    </w:p>
    <w:p>
      <w:r>
        <w:rPr>
          <w:rFonts w:ascii="宋体" w:hAnsi="宋体" w:eastAsia="宋体"/>
          <w:sz w:val="24"/>
        </w:rPr>
        <w:t>（加拿大）弗兰克·费瑟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戈尔巴乔夫与“新”俄国  对2000年的展望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（加拿大）弗兰克·费瑟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国务院发展研究中心国际技术经济研究所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本书出售、求购地址：https://www.jiaokey.com/book/detail/10269779.html</w:t>
      </w:r>
    </w:p>
    <w:p>
      <w:r>
        <w:t>更多相关图书推荐：https://www.jiaokey.com</w:t>
      </w:r>
    </w:p>
    <w:p>
      <w:r>
        <w:t>（加拿大）弗兰克·费瑟 其他作品：https://www.jiaokey.com/tag/（加拿大）弗兰克·费瑟.html</w:t>
      </w:r>
    </w:p>
    <w:p>
      <w:r>
        <w:t>国务院发展研究中心国际技术经济研究所 出版图书：https://www.jiaokey.com/tag/国务院发展研究中心国际技术经济研究所.html</w:t>
      </w:r>
    </w:p>
    <w:p>
      <w:r>
        <w:t>关键词搜索：https://www.jiaokey.com/tag/戈尔巴乔夫与“新”俄国  对2000年的展望.html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