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石油与世界霸权  石油危机的背景</w:t>
      </w:r>
    </w:p>
    <w:p>
      <w:r>
        <w:rPr>
          <w:rFonts w:ascii="宋体" w:hAnsi="宋体" w:eastAsia="宋体"/>
          <w:sz w:val="24"/>
        </w:rPr>
        <w:t>（英）奥德尔（P.R.Odell）著；厦门大学南洋研究所编译组等译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石油与世界霸权  石油危机的背景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（英）奥德尔（P.R.Odell）著；厦门大学南洋研究所编译组等译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本书出售、求购地址：https://www.jiaokey.com/book/detail/10269080.html</w:t>
      </w:r>
    </w:p>
    <w:p>
      <w:r>
        <w:t>更多相关图书推荐：https://www.jiaokey.com</w:t>
      </w:r>
    </w:p>
    <w:p>
      <w:r>
        <w:t>（英）奥德尔（P.R.Odell）著；厦门大学南洋研究所编译组等译 其他作品：https://www.jiaokey.com/tag/（英）奥德尔（P.R.Odell）著；厦门大学南洋研究所编译组等译.html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关键词搜索：https://www.jiaokey.com/tag/石油与世界霸权  石油危机的背景.html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