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战后资本主义经济矛盾  兼论未来经济恐慌特点</w:t>
      </w:r>
    </w:p>
    <w:p>
      <w:r>
        <w:rPr>
          <w:rFonts w:ascii="宋体" w:hAnsi="宋体" w:eastAsia="宋体"/>
          <w:sz w:val="24"/>
        </w:rPr>
        <w:t>（苏）门德荪著；李正文译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战后资本主义经济矛盾  兼论未来经济恐慌特点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（苏）门德荪著；李正文译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上海：耕耘出版社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本书出售、求购地址：https://www.jiaokey.com/book/detail/10269063.html</w:t>
      </w:r>
    </w:p>
    <w:p>
      <w:r>
        <w:t>更多相关图书推荐：https://www.jiaokey.com</w:t>
      </w:r>
    </w:p>
    <w:p>
      <w:r>
        <w:t>（苏）门德荪著；李正文译 其他作品：https://www.jiaokey.com/tag/（苏）门德荪著；李正文译.html</w:t>
      </w:r>
    </w:p>
    <w:p>
      <w:r>
        <w:t>上海：耕耘出版社 出版图书：https://www.jiaokey.com/tag/上海：耕耘出版社.html</w:t>
      </w:r>
    </w:p>
    <w:p>
      <w:r>
        <w:t>关键词搜索：https://www.jiaokey.com/tag/战后资本主义经济矛盾  兼论未来经济恐慌特点.html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