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中国：城镇住房改革的问题与方案</w:t>
      </w:r>
    </w:p>
    <w:p>
      <w:r>
        <w:rPr>
          <w:rFonts w:ascii="宋体" w:hAnsi="宋体" w:eastAsia="宋体"/>
          <w:sz w:val="24"/>
        </w:rPr>
        <w:t>世界银行亚洲区中国环境、人力资源和城市发展处编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中国：城镇住房改革的问题与方案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世界银行亚洲区中国环境、人力资源和城市发展处编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本书出售、求购地址：https://www.jiaokey.com/book/detail/10268823.html</w:t>
      </w:r>
    </w:p>
    <w:p>
      <w:r>
        <w:t>更多相关图书推荐：https://www.jiaokey.com</w:t>
      </w:r>
    </w:p>
    <w:p>
      <w:r>
        <w:t>世界银行亚洲区中国环境、人力资源和城市发展处编 其他作品：https://www.jiaokey.com/tag/世界银行亚洲区中国环境、人力资源和城市发展处编.html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关键词搜索：https://www.jiaokey.com/tag/中国：城镇住房改革的问题与方案.html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