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社会主义制度下的商品生产理论今昔</w:t>
      </w:r>
    </w:p>
    <w:p>
      <w:r>
        <w:rPr>
          <w:rFonts w:ascii="宋体" w:hAnsi="宋体" w:eastAsia="宋体"/>
          <w:sz w:val="24"/>
        </w:rPr>
        <w:t>（苏）马拉菲耶夫（А.Н.Малафеев）著；马文奇，伍柏麟译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社会主义制度下的商品生产理论今昔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（苏）马拉菲耶夫（А.Н.Малафеев）著；马文奇，伍柏麟译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本书出售、求购地址：https://www.jiaokey.com/book/detail/10267172.html</w:t>
      </w:r>
    </w:p>
    <w:p>
      <w:r>
        <w:t>更多相关图书推荐：https://www.jiaokey.com</w:t>
      </w:r>
    </w:p>
    <w:p>
      <w:r>
        <w:t>（苏）马拉菲耶夫（А.Н.Малафеев）著；马文奇，伍柏麟译 其他作品：https://www.jiaokey.com/tag/（苏）马拉菲耶夫（А.Н.Малафеев）著；马文奇，伍柏麟译.html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关键词搜索：https://www.jiaokey.com/tag/社会主义制度下的商品生产理论今昔.html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