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第2卷  争议法、战时法、中立法  第2分册</w:t>
      </w:r>
    </w:p>
    <w:p>
      <w:r>
        <w:rPr>
          <w:rFonts w:ascii="宋体" w:hAnsi="宋体" w:eastAsia="宋体"/>
          <w:sz w:val="24"/>
        </w:rPr>
        <w:t>（德）奥本海（L.F.L.Oppenheim）著；（英）劳特派特（H.Lauterpacht）编译；中国人民外交学会编译委员会译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第2卷  争议法、战时法、中立法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（德）奥本海（L.F.L.Oppenheim）著；（英）劳特派特（H.Lauterpacht）编译；中国人民外交学会编译委员会译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本书出售、求购地址：https://www.jiaokey.com/book/detail/10266906.html</w:t>
      </w:r>
    </w:p>
    <w:p>
      <w:r>
        <w:t>更多相关图书推荐：https://www.jiaokey.com</w:t>
      </w:r>
    </w:p>
    <w:p>
      <w:r>
        <w:t>（德）奥本海（L.F.L.Oppenheim）著；（英）劳特派特（H.Lauterpacht）编译；中国人民外交学会编译委员会译 其他作品：https://www.jiaokey.com/tag/（德）奥本海（L.F.L.Oppenheim）著；（英）劳特派特（H.Lauterpacht）编译；中国人民外交学会编译委员会译.html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关键词搜索：https://www.jiaokey.com/tag/奥本海国际法  第2卷  争议法、战时法、中立法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