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免疫识别中的B细胞和T细胞</w:t>
      </w:r>
    </w:p>
    <w:p>
      <w:r>
        <w:rPr>
          <w:rFonts w:ascii="宋体" w:hAnsi="宋体" w:eastAsia="宋体"/>
          <w:sz w:val="24"/>
        </w:rPr>
        <w:t>（美）卢尔（Loor，F.），（美）罗兰特（Roelants，G.E.）主编；杨松榆，臧人杰译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免疫识别中的B细胞和T细胞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（美）卢尔（Loor，F.），（美）罗兰特（Roelants，G.E.）主编；杨松榆，臧人杰译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本书出售、求购地址：https://www.jiaokey.com/book/detail/10266164.html</w:t>
      </w:r>
    </w:p>
    <w:p>
      <w:r>
        <w:t>更多相关图书推荐：https://www.jiaokey.com</w:t>
      </w:r>
    </w:p>
    <w:p>
      <w:r>
        <w:t>（美）卢尔（Loor，F.），（美）罗兰特（Roelants，G.E.）主编；杨松榆，臧人杰译 其他作品：https://www.jiaokey.com/tag/（美）卢尔（Loor，F.），（美）罗兰特（Roelants，G.E.）主编；杨松榆，臧人杰译.html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关键词搜索：https://www.jiaokey.com/tag/免疫识别中的B细胞和T细胞.html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