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中草药制剂操作规程  草案</w:t>
      </w:r>
    </w:p>
    <w:p>
      <w:r>
        <w:rPr>
          <w:rFonts w:ascii="宋体" w:hAnsi="宋体" w:eastAsia="宋体"/>
          <w:sz w:val="24"/>
        </w:rPr>
        <w:t>广西桂林行署卫生局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中草药制剂操作规程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广西桂林行署卫生局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本书出售、求购地址：https://www.jiaokey.com/book/detail/10265048.html</w:t>
      </w:r>
    </w:p>
    <w:p>
      <w:r>
        <w:t>更多相关图书推荐：https://www.jiaokey.com</w:t>
      </w:r>
    </w:p>
    <w:p>
      <w:r>
        <w:t>广西桂林行署卫生局 其他作品：https://www.jiaokey.com/tag/广西桂林行署卫生局.html</w:t>
      </w:r>
    </w:p>
    <w:p>
      <w:r>
        <w:t>关键词搜索：https://www.jiaokey.com/tag/中草药制剂操作规程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