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上册</w:t>
      </w:r>
    </w:p>
    <w:p>
      <w:r>
        <w:rPr>
          <w:rFonts w:ascii="宋体" w:hAnsi="宋体" w:eastAsia="宋体"/>
          <w:sz w:val="24"/>
        </w:rPr>
        <w:t>东北工学院机械制图教研室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东北工学院机械制图教研室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本书出售、求购地址：https://www.jiaokey.com/book/detail/10258863.html</w:t>
      </w:r>
    </w:p>
    <w:p>
      <w:r>
        <w:t>更多相关图书推荐：https://www.jiaokey.com</w:t>
      </w:r>
    </w:p>
    <w:p>
      <w:r>
        <w:t>东北工学院机械制图教研室 其他作品：https://www.jiaokey.com/tag/东北工学院机械制图教研室.html</w:t>
      </w:r>
    </w:p>
    <w:p>
      <w:r>
        <w:t>高等教育出版社 出版图书：https://www.jiaokey.com/tag/高等教育出版社.html</w:t>
      </w:r>
    </w:p>
    <w:p>
      <w:r>
        <w:t>关键词搜索：https://www.jiaokey.com/tag/画法几何及机械制图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