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河道整治与流量调节</w:t>
      </w:r>
    </w:p>
    <w:p>
      <w:r>
        <w:rPr>
          <w:rFonts w:ascii="宋体" w:hAnsi="宋体" w:eastAsia="宋体"/>
          <w:sz w:val="24"/>
        </w:rPr>
        <w:t>（苏）马杜谢维奇（В.А.Матусевич）著；孙诗乐，张作人译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河道整治与流量调节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（苏）马杜谢维奇（В.А.Матусевич）著；孙诗乐，张作人译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本书出售、求购地址：https://www.jiaokey.com/book/detail/10258701.html</w:t>
      </w:r>
    </w:p>
    <w:p>
      <w:r>
        <w:t>更多相关图书推荐：https://www.jiaokey.com</w:t>
      </w:r>
    </w:p>
    <w:p>
      <w:r>
        <w:t>（苏）马杜谢维奇（В.А.Матусевич）著；孙诗乐，张作人译 其他作品：https://www.jiaokey.com/tag/（苏）马杜谢维奇（В.А.Матусевич）著；孙诗乐，张作人译.html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关键词搜索：https://www.jiaokey.com/tag/河道整治与流量调节.html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