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非齐次边值问题及其应用  第1卷</w:t>
      </w:r>
    </w:p>
    <w:p>
      <w:r>
        <w:rPr>
          <w:rFonts w:ascii="宋体" w:hAnsi="宋体" w:eastAsia="宋体"/>
          <w:sz w:val="24"/>
        </w:rPr>
        <w:t>（法）莱昂士（Lions，J.L.），（法）马格恩斯（Magenes，E.）著；《非齐次边值问题及其应用》翻译组译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非齐次边值问题及其应用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（法）莱昂士（Lions，J.L.），（法）马格恩斯（Magenes，E.）著；《非齐次边值问题及其应用》翻译组译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本书出售、求购地址：https://www.jiaokey.com/book/detail/10256327.html</w:t>
      </w:r>
    </w:p>
    <w:p>
      <w:r>
        <w:t>更多相关图书推荐：https://www.jiaokey.com</w:t>
      </w:r>
    </w:p>
    <w:p>
      <w:r>
        <w:t>（法）莱昂士（Lions，J.L.），（法）马格恩斯（Magenes，E.）著；《非齐次边值问题及其应用》翻译组译 其他作品：https://www.jiaokey.com/tag/（法）莱昂士（Lions，J.L.），（法）马格恩斯（Magenes，E.）著；《非齐次边值问题及其应用》翻译组译.html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关键词搜索：https://www.jiaokey.com/tag/非齐次边值问题及其应用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