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人工智能手册  第2卷</w:t>
      </w:r>
    </w:p>
    <w:p>
      <w:r>
        <w:rPr>
          <w:rFonts w:ascii="宋体" w:hAnsi="宋体" w:eastAsia="宋体"/>
          <w:sz w:val="24"/>
        </w:rPr>
        <w:t>（美）巴u3000尔（Barr，A.），（美）费根鲍姆（Feigenbaum，E.A.）主编；钟玉琢等译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（美）巴u3000尔（Barr，A.），（美）费根鲍姆（Feigenbaum，E.A.）主编；钟玉琢等译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本书出售、求购地址：https://www.jiaokey.com/book/detail/10254197.html</w:t>
      </w:r>
    </w:p>
    <w:p>
      <w:r>
        <w:t>更多相关图书推荐：https://www.jiaokey.com</w:t>
      </w:r>
    </w:p>
    <w:p>
      <w:r>
        <w:t>（美）巴u3000尔（Barr，A.），（美）费根鲍姆（Feigenbaum，E.A.）主编；钟玉琢等译 其他作品：https://www.jiaokey.com/tag/（美）巴u3000尔（Barr，A.），（美）费根鲍姆（Feigenbaum，E.A.）主编；钟玉琢等译.html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