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结构分析原理</w:t>
      </w:r>
    </w:p>
    <w:p>
      <w:r>
        <w:rPr>
          <w:rFonts w:ascii="宋体" w:hAnsi="宋体" w:eastAsia="宋体"/>
          <w:sz w:val="24"/>
        </w:rPr>
        <w:t>（澳）赫尔（A.S.Hall原译哈尔），凯培拉（A.P.Kabaila）著；赵超燮等译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结构分析原理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（澳）赫尔（A.S.Hall原译哈尔），凯培拉（A.P.Kabaila）著；赵超燮等译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本书出售、求购地址：https://www.jiaokey.com/book/detail/10253521.html</w:t>
      </w:r>
    </w:p>
    <w:p>
      <w:r>
        <w:t>更多相关图书推荐：https://www.jiaokey.com</w:t>
      </w:r>
    </w:p>
    <w:p>
      <w:r>
        <w:t>（澳）赫尔（A.S.Hall原译哈尔），凯培拉（A.P.Kabaila）著；赵超燮等译 其他作品：https://www.jiaokey.com/tag/（澳）赫尔（A.S.Hall原译哈尔），凯培拉（A.P.Kabaila）著；赵超燮等译.html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关键词搜索：https://www.jiaokey.com/tag/结构分析原理.html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