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雷达是怎样工作的</w:t>
      </w:r>
    </w:p>
    <w:p>
      <w:r>
        <w:rPr>
          <w:rFonts w:ascii="宋体" w:hAnsi="宋体" w:eastAsia="宋体"/>
          <w:sz w:val="24"/>
        </w:rPr>
        <w:t>（苏）彼尔勒雅（Я.З.Перля）著；朱邦俊译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雷达是怎样工作的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（苏）彼尔勒雅（Я.З.Перля）著；朱邦俊译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本书出售、求购地址：https://www.jiaokey.com/book/detail/10253314.html</w:t>
      </w:r>
    </w:p>
    <w:p>
      <w:r>
        <w:t>更多相关图书推荐：https://www.jiaokey.com</w:t>
      </w:r>
    </w:p>
    <w:p>
      <w:r>
        <w:t>（苏）彼尔勒雅（Я.З.Перля）著；朱邦俊译 其他作品：https://www.jiaokey.com/tag/（苏）彼尔勒雅（Я.З.Перля）著；朱邦俊译.html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关键词搜索：https://www.jiaokey.com/tag/雷达是怎样工作的.html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